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64748B"/>
          <w:sz w:val="17"/>
        </w:rPr>
        <w:t xml:space="preserve">The Owners, Strata Plan </w:t>
      </w:r>
      <w:r>
        <w:rPr>
          <w:b/>
          <w:color w:val="64748B"/>
          <w:sz w:val="17"/>
          <w:highlight w:val="yellow"/>
        </w:rPr>
        <w:t>[plan number]</w:t>
      </w:r>
      <w:r>
        <w:rPr>
          <w:b/>
          <w:color w:val="64748B"/>
          <w:sz w:val="17"/>
        </w:rPr>
        <w:t xml:space="preserve"> · </w:t>
      </w:r>
      <w:r>
        <w:rPr>
          <w:b/>
          <w:color w:val="64748B"/>
          <w:sz w:val="17"/>
          <w:highlight w:val="yellow"/>
        </w:rPr>
        <w:t>[building name]</w:t>
      </w:r>
    </w:p>
    <w:p>
      <w:pPr>
        <w:pStyle w:val="Title"/>
      </w:pPr>
      <w:r>
        <w:rPr>
          <w:b w:val="0"/>
        </w:rPr>
        <w:t>Notice of Special General Meeting</w:t>
      </w:r>
    </w:p>
    <w:tbl>
      <w:tblPr>
        <w:tblLook w:firstColumn="1" w:firstRow="1" w:lastColumn="0" w:lastRow="0" w:noHBand="0" w:noVBand="1" w:val="04A0"/>
        <w:tblW w:w="5000" w:type="pct"/>
        <w:tblLayout w:type="fixed"/>
        <w:tblBorders>
          <w:top w:val="single" w:sz="6" w:space="0" w:color="E2E8F0"/>
          <w:left w:val="single" w:sz="6" w:space="0" w:color="E2E8F0"/>
          <w:bottom w:val="single" w:sz="6" w:space="0" w:color="E2E8F0"/>
          <w:right w:val="single" w:sz="6" w:space="0" w:color="E2E8F0"/>
          <w:insideH w:val="single" w:sz="6" w:space="0" w:color="E2E8F0"/>
          <w:insideV w:val="single" w:sz="6" w:space="0" w:color="E2E8F0"/>
        </w:tblBorders>
      </w:tblPr>
      <w:tblGrid>
        <w:gridCol w:w="2381"/>
        <w:gridCol w:w="7597"/>
      </w:tblGrid>
      <w:tr>
        <w:tc>
          <w:tcPr>
            <w:tcW w:type="dxa" w:w="2381"/>
          </w:tcPr>
          <w:p>
            <w:r>
              <w:rPr>
                <w:b/>
                <w:color w:val="64748B"/>
                <w:sz w:val="19"/>
              </w:rPr>
              <w:t>Date</w:t>
            </w:r>
          </w:p>
        </w:tc>
        <w:tc>
          <w:tcPr>
            <w:tcW w:type="dxa" w:w="7597"/>
          </w:tcPr>
          <w:p>
            <w:r>
              <w:rPr>
                <w:b w:val="0"/>
                <w:highlight w:val="yellow"/>
              </w:rPr>
              <w:t>[day, month date, year]</w:t>
            </w:r>
          </w:p>
        </w:tc>
      </w:tr>
      <w:tr>
        <w:tc>
          <w:tcPr>
            <w:tcW w:type="dxa" w:w="2381"/>
          </w:tcPr>
          <w:p>
            <w:r>
              <w:rPr>
                <w:b/>
                <w:color w:val="64748B"/>
                <w:sz w:val="19"/>
              </w:rPr>
              <w:t>Time</w:t>
            </w:r>
          </w:p>
        </w:tc>
        <w:tc>
          <w:tcPr>
            <w:tcW w:type="dxa" w:w="7597"/>
          </w:tcPr>
          <w:p>
            <w:r>
              <w:rPr>
                <w:b w:val="0"/>
                <w:highlight w:val="yellow"/>
              </w:rPr>
              <w:t>[7:00 p.m.]</w:t>
            </w:r>
            <w:r>
              <w:rPr>
                <w:b w:val="0"/>
              </w:rPr>
              <w:t xml:space="preserve"> — registration opens at </w:t>
            </w:r>
            <w:r>
              <w:rPr>
                <w:b w:val="0"/>
                <w:highlight w:val="yellow"/>
              </w:rPr>
              <w:t>[6:30 p.m.]</w:t>
            </w:r>
          </w:p>
        </w:tc>
      </w:tr>
      <w:tr>
        <w:tc>
          <w:tcPr>
            <w:tcW w:type="dxa" w:w="2381"/>
          </w:tcPr>
          <w:p>
            <w:r>
              <w:rPr>
                <w:b/>
                <w:color w:val="64748B"/>
                <w:sz w:val="19"/>
              </w:rPr>
              <w:t>Place</w:t>
            </w:r>
          </w:p>
        </w:tc>
        <w:tc>
          <w:tcPr>
            <w:tcW w:type="dxa" w:w="7597"/>
          </w:tcPr>
          <w:p>
            <w:r>
              <w:rPr>
                <w:b w:val="0"/>
                <w:highlight w:val="yellow"/>
              </w:rPr>
              <w:t>[address and room]</w:t>
            </w:r>
          </w:p>
        </w:tc>
      </w:tr>
      <w:tr>
        <w:tc>
          <w:tcPr>
            <w:tcW w:type="dxa" w:w="2381"/>
          </w:tcPr>
          <w:p>
            <w:r>
              <w:rPr>
                <w:b/>
                <w:color w:val="64748B"/>
                <w:sz w:val="19"/>
              </w:rPr>
              <w:t>Joining online</w:t>
            </w:r>
          </w:p>
        </w:tc>
        <w:tc>
          <w:tcPr>
            <w:tcW w:type="dxa" w:w="7597"/>
          </w:tcPr>
          <w:p>
            <w:r>
              <w:rPr>
                <w:b w:val="0"/>
                <w:highlight w:val="yellow"/>
              </w:rPr>
              <w:t>[link and dial-in, or delete this line]</w:t>
            </w:r>
          </w:p>
        </w:tc>
      </w:tr>
      <w:tr>
        <w:tc>
          <w:tcPr>
            <w:tcW w:type="dxa" w:w="2381"/>
          </w:tcPr>
          <w:p>
            <w:r>
              <w:rPr>
                <w:b/>
                <w:color w:val="64748B"/>
                <w:sz w:val="19"/>
              </w:rPr>
              <w:t>Date of this notice</w:t>
            </w:r>
          </w:p>
        </w:tc>
        <w:tc>
          <w:tcPr>
            <w:tcW w:type="dxa" w:w="7597"/>
          </w:tcPr>
          <w:p>
            <w:r>
              <w:rPr>
                <w:b w:val="0"/>
                <w:highlight w:val="yellow"/>
              </w:rPr>
              <w:t>[date sent]</w:t>
            </w:r>
          </w:p>
        </w:tc>
      </w:tr>
    </w:tbl>
    <w:p/>
    <w:p>
      <w:pPr>
        <w:spacing w:after="60"/>
      </w:pPr>
      <w:r>
        <w:rPr>
          <w:b w:val="0"/>
        </w:rPr>
        <w:t xml:space="preserve">The strata council gives notice that a special general meeting of the owners of Strata Plan </w:t>
      </w:r>
      <w:r>
        <w:rPr>
          <w:b w:val="0"/>
          <w:highlight w:val="yellow"/>
        </w:rPr>
        <w:t>[plan number]</w:t>
      </w:r>
      <w:r>
        <w:rPr>
          <w:b w:val="0"/>
        </w:rPr>
        <w:t xml:space="preserve"> will be held at the date, time and place above, to consider the resolution set out below. </w:t>
      </w:r>
      <w:r>
        <w:rPr>
          <w:b w:val="0"/>
          <w:highlight w:val="yellow"/>
        </w:rPr>
        <w:t>[This meeting was demanded in writing by owners holding at least 20% of the votes, under s.43 of the Strata Property Act. — delete if not]</w:t>
      </w:r>
    </w:p>
    <w:p>
      <w:pPr>
        <w:pStyle w:val="Heading2"/>
      </w:pPr>
      <w:r>
        <w:rPr>
          <w:b w:val="0"/>
        </w:rPr>
        <w:t>Agenda</w:t>
      </w:r>
    </w:p>
    <w:p>
      <w:pPr>
        <w:spacing w:after="60"/>
        <w:ind w:left="454" w:hanging="340"/>
      </w:pPr>
      <w:r>
        <w:rPr>
          <w:b w:val="0"/>
        </w:rPr>
        <w:t>1.</w:t>
        <w:tab/>
        <w:t>Certify proxies and corporate representatives, and issue voting cards.</w:t>
      </w:r>
    </w:p>
    <w:p>
      <w:pPr>
        <w:spacing w:after="60"/>
        <w:ind w:left="454" w:hanging="340"/>
      </w:pPr>
      <w:r>
        <w:rPr>
          <w:b w:val="0"/>
        </w:rPr>
        <w:t>2.</w:t>
        <w:tab/>
        <w:t>Determine that there is a quorum.</w:t>
      </w:r>
    </w:p>
    <w:p>
      <w:pPr>
        <w:spacing w:after="60"/>
        <w:ind w:left="454" w:hanging="340"/>
      </w:pPr>
      <w:r>
        <w:rPr>
          <w:b w:val="0"/>
        </w:rPr>
        <w:t>3.</w:t>
        <w:tab/>
        <w:t>Elect a person to chair the meeting, if necessary.</w:t>
      </w:r>
    </w:p>
    <w:p>
      <w:pPr>
        <w:spacing w:after="60"/>
        <w:ind w:left="454" w:hanging="340"/>
      </w:pPr>
      <w:r>
        <w:rPr>
          <w:b w:val="0"/>
        </w:rPr>
        <w:t>4.</w:t>
        <w:tab/>
        <w:t>Present proof of notice of meeting, or waiver of notice.</w:t>
      </w:r>
    </w:p>
    <w:p>
      <w:pPr>
        <w:spacing w:after="60"/>
        <w:ind w:left="454" w:hanging="340"/>
      </w:pPr>
      <w:r>
        <w:rPr>
          <w:b w:val="0"/>
        </w:rPr>
        <w:t>5.</w:t>
        <w:tab/>
        <w:t>Approve the agenda.</w:t>
      </w:r>
    </w:p>
    <w:p>
      <w:pPr>
        <w:spacing w:after="60"/>
        <w:ind w:left="454" w:hanging="340"/>
      </w:pPr>
      <w:r>
        <w:rPr>
          <w:b w:val="0"/>
        </w:rPr>
        <w:t>6.</w:t>
        <w:tab/>
        <w:t xml:space="preserve">Approve the minutes of the last annual or special general meeting, held </w:t>
      </w:r>
      <w:r>
        <w:rPr>
          <w:b w:val="0"/>
          <w:highlight w:val="yellow"/>
        </w:rPr>
        <w:t>[date]</w:t>
      </w:r>
      <w:r>
        <w:rPr>
          <w:b w:val="0"/>
        </w:rPr>
        <w:t>.</w:t>
      </w:r>
    </w:p>
    <w:p>
      <w:pPr>
        <w:spacing w:after="60"/>
        <w:ind w:left="454" w:hanging="340"/>
      </w:pPr>
      <w:r>
        <w:rPr>
          <w:b w:val="0"/>
        </w:rPr>
        <w:t>7.</w:t>
        <w:tab/>
        <w:t>Deal with unfinished business.</w:t>
      </w:r>
    </w:p>
    <w:p>
      <w:pPr>
        <w:spacing w:after="60"/>
        <w:ind w:left="454" w:hanging="340"/>
      </w:pPr>
      <w:r>
        <w:rPr>
          <w:b w:val="0"/>
        </w:rPr>
        <w:t>8.</w:t>
        <w:tab/>
        <w:t xml:space="preserve">Resolution 1 — special levy for </w:t>
      </w:r>
      <w:r>
        <w:rPr>
          <w:b w:val="0"/>
          <w:highlight w:val="yellow"/>
        </w:rPr>
        <w:t>[purpose]</w:t>
      </w:r>
      <w:r>
        <w:rPr>
          <w:b w:val="0"/>
        </w:rPr>
        <w:t xml:space="preserve"> — </w:t>
      </w:r>
      <w:r>
        <w:rPr>
          <w:b/>
        </w:rPr>
        <w:t>¾ vote</w:t>
      </w:r>
      <w:r>
        <w:rPr>
          <w:b w:val="0"/>
        </w:rPr>
        <w:t>.</w:t>
      </w:r>
    </w:p>
    <w:p>
      <w:pPr>
        <w:spacing w:after="60"/>
        <w:ind w:left="454" w:hanging="340"/>
      </w:pPr>
      <w:r>
        <w:rPr>
          <w:b w:val="0"/>
        </w:rPr>
        <w:t>9.</w:t>
        <w:tab/>
        <w:t>Terminate the meeting.</w:t>
      </w:r>
    </w:p>
    <w:p>
      <w:pPr>
        <w:pStyle w:val="Heading2"/>
      </w:pPr>
      <w:r>
        <w:rPr>
          <w:b w:val="0"/>
        </w:rPr>
        <w:t>Resolutions</w:t>
      </w:r>
    </w:p>
    <w:p>
      <w:pPr>
        <w:spacing w:after="60"/>
        <w:ind w:left="227"/>
        <w:pBdr>
          <w:left w:val="single" w:sz="18" w:space="8" w:color="2563EB"/>
        </w:pBdr>
      </w:pPr>
      <w:r>
        <w:rPr>
          <w:b w:val="0"/>
        </w:rPr>
        <w:t>Resolution 1 — special levy — ¾ vote</w:t>
      </w:r>
    </w:p>
    <w:p>
      <w:pPr>
        <w:spacing w:after="60"/>
        <w:ind w:left="227"/>
        <w:pBdr>
          <w:left w:val="single" w:sz="18" w:space="8" w:color="2563EB"/>
        </w:pBdr>
      </w:pPr>
      <w:r>
        <w:rPr>
          <w:b w:val="0"/>
        </w:rPr>
        <w:t xml:space="preserve">WHEREAS </w:t>
      </w:r>
      <w:r>
        <w:rPr>
          <w:b w:val="0"/>
          <w:highlight w:val="yellow"/>
        </w:rPr>
        <w:t>[the reason — e.g. the 2026 building envelope assessment found the roof membrane at the end of its service life]</w:t>
      </w:r>
      <w:r>
        <w:rPr>
          <w:b w:val="0"/>
        </w:rPr>
        <w:t>;</w:t>
      </w:r>
    </w:p>
    <w:p>
      <w:pPr>
        <w:spacing w:after="60"/>
        <w:ind w:left="227"/>
        <w:pBdr>
          <w:left w:val="single" w:sz="18" w:space="8" w:color="2563EB"/>
        </w:pBdr>
      </w:pPr>
      <w:r>
        <w:rPr>
          <w:b w:val="0"/>
        </w:rPr>
        <w:t xml:space="preserve">BE IT RESOLVED, by a ¾ vote of The Owners, Strata Plan </w:t>
      </w:r>
      <w:r>
        <w:rPr>
          <w:b w:val="0"/>
          <w:highlight w:val="yellow"/>
        </w:rPr>
        <w:t>[plan number]</w:t>
      </w:r>
      <w:r>
        <w:rPr>
          <w:b w:val="0"/>
        </w:rPr>
        <w:t>, that the strata corporation raise a special levy of $</w:t>
      </w:r>
      <w:r>
        <w:rPr>
          <w:b w:val="0"/>
          <w:highlight w:val="yellow"/>
        </w:rPr>
        <w:t>[total amount]</w:t>
      </w:r>
      <w:r>
        <w:rPr>
          <w:b w:val="0"/>
        </w:rPr>
        <w:t xml:space="preserve"> for the purpose of </w:t>
      </w:r>
      <w:r>
        <w:rPr>
          <w:b w:val="0"/>
          <w:highlight w:val="yellow"/>
        </w:rPr>
        <w:t>[purpose]</w:t>
      </w:r>
      <w:r>
        <w:rPr>
          <w:b w:val="0"/>
        </w:rPr>
        <w:t xml:space="preserve">, to be shared among the strata lots according to their unit entitlement as set out in Schedule A, and payable </w:t>
      </w:r>
      <w:r>
        <w:rPr>
          <w:b w:val="0"/>
          <w:highlight w:val="yellow"/>
        </w:rPr>
        <w:t>[in full on [date] / in [number] instalments due on [dates]]</w:t>
      </w:r>
      <w:r>
        <w:rPr>
          <w:b w:val="0"/>
        </w:rPr>
        <w:t>.</w:t>
      </w:r>
    </w:p>
    <w:p>
      <w:pPr>
        <w:spacing w:after="60"/>
        <w:ind w:left="227"/>
        <w:pBdr>
          <w:left w:val="single" w:sz="18" w:space="8" w:color="2563EB"/>
        </w:pBdr>
      </w:pPr>
      <w:r>
        <w:rPr>
          <w:b w:val="0"/>
        </w:rPr>
        <w:t>Resolution 1 needs at least three-quarters of the votes cast by eligible voters present in person or by proxy. Abstentions are not counted.</w:t>
      </w:r>
    </w:p>
    <w:p>
      <w:pPr>
        <w:pStyle w:val="Heading2"/>
      </w:pPr>
      <w:r>
        <w:rPr>
          <w:b w:val="0"/>
        </w:rPr>
        <w:t>Schedule A — each strata lot’s share</w:t>
      </w:r>
    </w:p>
    <w:tbl>
      <w:tblPr>
        <w:tblLook w:firstColumn="1" w:firstRow="1" w:lastColumn="0" w:lastRow="0" w:noHBand="0" w:noVBand="1" w:val="04A0"/>
        <w:tblW w:w="5000" w:type="pct"/>
        <w:tblLayout w:type="fixed"/>
        <w:tblBorders>
          <w:top w:val="single" w:sz="6" w:space="0" w:color="E2E8F0"/>
          <w:left w:val="single" w:sz="6" w:space="0" w:color="E2E8F0"/>
          <w:bottom w:val="single" w:sz="6" w:space="0" w:color="E2E8F0"/>
          <w:right w:val="single" w:sz="6" w:space="0" w:color="E2E8F0"/>
          <w:insideH w:val="single" w:sz="6" w:space="0" w:color="E2E8F0"/>
          <w:insideV w:val="single" w:sz="6" w:space="0" w:color="E2E8F0"/>
        </w:tblBorders>
      </w:tblPr>
      <w:tblGrid>
        <w:gridCol w:w="2138"/>
        <w:gridCol w:w="2138"/>
        <w:gridCol w:w="2851"/>
        <w:gridCol w:w="2851"/>
      </w:tblGrid>
      <w:tr>
        <w:tc>
          <w:tcPr>
            <w:tcW w:type="dxa" w:w="2138"/>
            <w:shd w:val="clear" w:color="auto" w:fill="F8FAFC"/>
          </w:tcPr>
          <w:p>
            <w:r>
              <w:rPr>
                <w:b/>
                <w:sz w:val="19"/>
              </w:rPr>
              <w:t>Strata lot</w:t>
            </w:r>
          </w:p>
        </w:tc>
        <w:tc>
          <w:tcPr>
            <w:tcW w:type="dxa" w:w="2138"/>
            <w:shd w:val="clear" w:color="auto" w:fill="F8FAFC"/>
          </w:tcPr>
          <w:p>
            <w:r>
              <w:rPr>
                <w:b/>
                <w:sz w:val="19"/>
              </w:rPr>
              <w:t>Unit</w:t>
            </w:r>
          </w:p>
        </w:tc>
        <w:tc>
          <w:tcPr>
            <w:tcW w:type="dxa" w:w="2851"/>
            <w:shd w:val="clear" w:color="auto" w:fill="F8FAFC"/>
          </w:tcPr>
          <w:p>
            <w:r>
              <w:rPr>
                <w:b/>
                <w:sz w:val="19"/>
              </w:rPr>
              <w:t>Unit entitlement</w:t>
            </w:r>
          </w:p>
        </w:tc>
        <w:tc>
          <w:tcPr>
            <w:tcW w:type="dxa" w:w="2851"/>
            <w:shd w:val="clear" w:color="auto" w:fill="F8FAFC"/>
          </w:tcPr>
          <w:p>
            <w:r>
              <w:rPr>
                <w:b/>
                <w:sz w:val="19"/>
              </w:rPr>
              <w:t>Share of levy</w:t>
            </w:r>
          </w:p>
        </w:tc>
      </w:tr>
      <w:tr>
        <w:tc>
          <w:tcPr>
            <w:tcW w:type="dxa" w:w="2138"/>
          </w:tcPr>
          <w:p>
            <w:r>
              <w:rPr>
                <w:b w:val="0"/>
                <w:sz w:val="19"/>
                <w:highlight w:val="yellow"/>
              </w:rPr>
              <w:t>[1]</w:t>
            </w:r>
          </w:p>
        </w:tc>
        <w:tc>
          <w:tcPr>
            <w:tcW w:type="dxa" w:w="2138"/>
          </w:tcPr>
          <w:p>
            <w:r>
              <w:rPr>
                <w:b w:val="0"/>
                <w:sz w:val="19"/>
                <w:highlight w:val="yellow"/>
              </w:rPr>
              <w:t>[101]</w:t>
            </w:r>
          </w:p>
        </w:tc>
        <w:tc>
          <w:tcPr>
            <w:tcW w:type="dxa" w:w="2851"/>
          </w:tcPr>
          <w:p>
            <w:r>
              <w:rPr>
                <w:b w:val="0"/>
                <w:sz w:val="19"/>
                <w:highlight w:val="yellow"/>
              </w:rPr>
              <w:t>[ ]</w:t>
            </w:r>
          </w:p>
        </w:tc>
        <w:tc>
          <w:tcPr>
            <w:tcW w:type="dxa" w:w="2851"/>
          </w:tcPr>
          <w:p>
            <w:r>
              <w:rPr>
                <w:b w:val="0"/>
                <w:sz w:val="19"/>
              </w:rPr>
              <w:t>$</w:t>
            </w:r>
            <w:r>
              <w:rPr>
                <w:b w:val="0"/>
                <w:sz w:val="19"/>
                <w:highlight w:val="yellow"/>
              </w:rPr>
              <w:t>[ ]</w:t>
            </w:r>
          </w:p>
        </w:tc>
      </w:tr>
      <w:tr>
        <w:tc>
          <w:tcPr>
            <w:tcW w:type="dxa" w:w="2138"/>
          </w:tcPr>
          <w:p>
            <w:r>
              <w:rPr>
                <w:b w:val="0"/>
                <w:sz w:val="19"/>
                <w:highlight w:val="yellow"/>
              </w:rPr>
              <w:t>[2]</w:t>
            </w:r>
          </w:p>
        </w:tc>
        <w:tc>
          <w:tcPr>
            <w:tcW w:type="dxa" w:w="2138"/>
          </w:tcPr>
          <w:p>
            <w:r>
              <w:rPr>
                <w:b w:val="0"/>
                <w:sz w:val="19"/>
                <w:highlight w:val="yellow"/>
              </w:rPr>
              <w:t>[102]</w:t>
            </w:r>
          </w:p>
        </w:tc>
        <w:tc>
          <w:tcPr>
            <w:tcW w:type="dxa" w:w="2851"/>
          </w:tcPr>
          <w:p>
            <w:r>
              <w:rPr>
                <w:b w:val="0"/>
                <w:sz w:val="19"/>
                <w:highlight w:val="yellow"/>
              </w:rPr>
              <w:t>[ ]</w:t>
            </w:r>
          </w:p>
        </w:tc>
        <w:tc>
          <w:tcPr>
            <w:tcW w:type="dxa" w:w="2851"/>
          </w:tcPr>
          <w:p>
            <w:r>
              <w:rPr>
                <w:b w:val="0"/>
                <w:sz w:val="19"/>
              </w:rPr>
              <w:t>$</w:t>
            </w:r>
            <w:r>
              <w:rPr>
                <w:b w:val="0"/>
                <w:sz w:val="19"/>
                <w:highlight w:val="yellow"/>
              </w:rPr>
              <w:t>[ ]</w:t>
            </w:r>
          </w:p>
        </w:tc>
      </w:tr>
      <w:tr>
        <w:tc>
          <w:tcPr>
            <w:tcW w:type="dxa" w:w="2138"/>
          </w:tcPr>
          <w:p>
            <w:r>
              <w:rPr>
                <w:b w:val="0"/>
                <w:sz w:val="19"/>
                <w:highlight w:val="yellow"/>
              </w:rPr>
              <w:t>[3]</w:t>
            </w:r>
          </w:p>
        </w:tc>
        <w:tc>
          <w:tcPr>
            <w:tcW w:type="dxa" w:w="2138"/>
          </w:tcPr>
          <w:p>
            <w:r>
              <w:rPr>
                <w:b w:val="0"/>
                <w:sz w:val="19"/>
                <w:highlight w:val="yellow"/>
              </w:rPr>
              <w:t>[103]</w:t>
            </w:r>
          </w:p>
        </w:tc>
        <w:tc>
          <w:tcPr>
            <w:tcW w:type="dxa" w:w="2851"/>
          </w:tcPr>
          <w:p>
            <w:r>
              <w:rPr>
                <w:b w:val="0"/>
                <w:sz w:val="19"/>
                <w:highlight w:val="yellow"/>
              </w:rPr>
              <w:t>[ ]</w:t>
            </w:r>
          </w:p>
        </w:tc>
        <w:tc>
          <w:tcPr>
            <w:tcW w:type="dxa" w:w="2851"/>
          </w:tcPr>
          <w:p>
            <w:r>
              <w:rPr>
                <w:b w:val="0"/>
                <w:sz w:val="19"/>
              </w:rPr>
              <w:t>$</w:t>
            </w:r>
            <w:r>
              <w:rPr>
                <w:b w:val="0"/>
                <w:sz w:val="19"/>
                <w:highlight w:val="yellow"/>
              </w:rPr>
              <w:t>[ ]</w:t>
            </w:r>
          </w:p>
        </w:tc>
      </w:tr>
      <w:tr>
        <w:tc>
          <w:tcPr>
            <w:tcW w:type="dxa" w:w="2138"/>
          </w:tcPr>
          <w:p/>
        </w:tc>
        <w:tc>
          <w:tcPr>
            <w:tcW w:type="dxa" w:w="2138"/>
          </w:tcPr>
          <w:p/>
        </w:tc>
        <w:tc>
          <w:tcPr>
            <w:tcW w:type="dxa" w:w="2851"/>
          </w:tcPr>
          <w:p/>
        </w:tc>
        <w:tc>
          <w:tcPr>
            <w:tcW w:type="dxa" w:w="2851"/>
          </w:tcPr>
          <w:p/>
        </w:tc>
      </w:tr>
      <w:tr>
        <w:tc>
          <w:tcPr>
            <w:tcW w:type="dxa" w:w="2138"/>
          </w:tcPr>
          <w:p/>
        </w:tc>
        <w:tc>
          <w:tcPr>
            <w:tcW w:type="dxa" w:w="2138"/>
          </w:tcPr>
          <w:p/>
        </w:tc>
        <w:tc>
          <w:tcPr>
            <w:tcW w:type="dxa" w:w="2851"/>
          </w:tcPr>
          <w:p/>
        </w:tc>
        <w:tc>
          <w:tcPr>
            <w:tcW w:type="dxa" w:w="2851"/>
          </w:tcPr>
          <w:p/>
        </w:tc>
      </w:tr>
      <w:tr>
        <w:tc>
          <w:tcPr>
            <w:tcW w:type="dxa" w:w="2138"/>
          </w:tcPr>
          <w:p/>
        </w:tc>
        <w:tc>
          <w:tcPr>
            <w:tcW w:type="dxa" w:w="2138"/>
          </w:tcPr>
          <w:p/>
        </w:tc>
        <w:tc>
          <w:tcPr>
            <w:tcW w:type="dxa" w:w="2851"/>
          </w:tcPr>
          <w:p/>
        </w:tc>
        <w:tc>
          <w:tcPr>
            <w:tcW w:type="dxa" w:w="2851"/>
          </w:tcPr>
          <w:p/>
        </w:tc>
      </w:tr>
      <w:tr>
        <w:tc>
          <w:tcPr>
            <w:tcW w:type="dxa" w:w="2138"/>
          </w:tcPr>
          <w:p/>
        </w:tc>
        <w:tc>
          <w:tcPr>
            <w:tcW w:type="dxa" w:w="2138"/>
          </w:tcPr>
          <w:p/>
        </w:tc>
        <w:tc>
          <w:tcPr>
            <w:tcW w:type="dxa" w:w="2851"/>
          </w:tcPr>
          <w:p/>
        </w:tc>
        <w:tc>
          <w:tcPr>
            <w:tcW w:type="dxa" w:w="2851"/>
          </w:tcPr>
          <w:p/>
        </w:tc>
      </w:tr>
      <w:tr>
        <w:tc>
          <w:tcPr>
            <w:tcW w:type="dxa" w:w="2138"/>
          </w:tcPr>
          <w:p/>
        </w:tc>
        <w:tc>
          <w:tcPr>
            <w:tcW w:type="dxa" w:w="2138"/>
          </w:tcPr>
          <w:p/>
        </w:tc>
        <w:tc>
          <w:tcPr>
            <w:tcW w:type="dxa" w:w="2851"/>
          </w:tcPr>
          <w:p/>
        </w:tc>
        <w:tc>
          <w:tcPr>
            <w:tcW w:type="dxa" w:w="2851"/>
          </w:tcPr>
          <w:p/>
        </w:tc>
      </w:tr>
      <w:tr>
        <w:tc>
          <w:tcPr>
            <w:tcW w:type="dxa" w:w="2138"/>
          </w:tcPr>
          <w:p>
            <w:r>
              <w:rPr>
                <w:b/>
                <w:sz w:val="19"/>
              </w:rPr>
              <w:t>Total</w:t>
            </w:r>
          </w:p>
        </w:tc>
        <w:tc>
          <w:tcPr>
            <w:tcW w:type="dxa" w:w="2138"/>
          </w:tcPr>
          <w:p/>
        </w:tc>
        <w:tc>
          <w:tcPr>
            <w:tcW w:type="dxa" w:w="2851"/>
          </w:tcPr>
          <w:p>
            <w:r>
              <w:rPr>
                <w:b w:val="0"/>
                <w:sz w:val="19"/>
                <w:highlight w:val="yellow"/>
              </w:rPr>
              <w:t>[ ]</w:t>
            </w:r>
          </w:p>
        </w:tc>
        <w:tc>
          <w:tcPr>
            <w:tcW w:type="dxa" w:w="2851"/>
          </w:tcPr>
          <w:p>
            <w:r>
              <w:rPr>
                <w:b/>
                <w:sz w:val="19"/>
              </w:rPr>
              <w:t>$</w:t>
            </w:r>
            <w:r>
              <w:rPr>
                <w:b/>
                <w:sz w:val="19"/>
                <w:highlight w:val="yellow"/>
              </w:rPr>
              <w:t>[total]</w:t>
            </w:r>
          </w:p>
        </w:tc>
      </w:tr>
    </w:tbl>
    <w:p/>
    <w:p>
      <w:r>
        <w:rPr>
          <w:b w:val="0"/>
        </w:rPr>
        <w:t>A proxy form is enclosed. If you can’t attend, give it to the person you want to vote for you.</w:t>
      </w:r>
    </w:p>
    <w:p>
      <w:r>
        <w:rPr>
          <w:b w:val="0"/>
        </w:rPr>
        <w:t>On behalf of the strata council,</w:t>
      </w:r>
    </w:p>
    <w:p>
      <w:pPr>
        <w:spacing w:before="480"/>
      </w:pPr>
      <w:r>
        <w:rPr>
          <w:b w:val="0"/>
          <w:highlight w:val="yellow"/>
        </w:rPr>
        <w:t>[Name]</w:t>
      </w:r>
      <w:r>
        <w:rPr>
          <w:b w:val="0"/>
        </w:rPr>
        <w:br/>
      </w:r>
      <w:r>
        <w:rPr>
          <w:b w:val="0"/>
          <w:highlight w:val="yellow"/>
        </w:rPr>
        <w:t>[President / Secretary]</w:t>
      </w:r>
    </w:p>
    <w:p>
      <w:pPr>
        <w:pageBreakBefore/>
        <w:spacing w:after="0"/>
      </w:pPr>
      <w:r>
        <w:rPr>
          <w:b/>
          <w:color w:val="64748B"/>
          <w:sz w:val="17"/>
        </w:rPr>
        <w:t>FOR THE COUNCIL — DELETE THIS PAGE BEFORE SENDING</w:t>
      </w:r>
    </w:p>
    <w:p>
      <w:pPr>
        <w:pStyle w:val="Heading1"/>
      </w:pPr>
      <w:r>
        <w:rPr>
          <w:b w:val="0"/>
        </w:rPr>
        <w:t>Before you send it</w:t>
      </w:r>
    </w:p>
    <w:p>
      <w:pPr>
        <w:spacing w:after="60"/>
        <w:ind w:left="454" w:hanging="340"/>
      </w:pPr>
      <w:r>
        <w:rPr>
          <w:b w:val="0"/>
        </w:rPr>
        <w:t>☐</w:t>
        <w:tab/>
      </w:r>
      <w:r>
        <w:rPr>
          <w:b/>
        </w:rPr>
        <w:t>Count the days.</w:t>
      </w:r>
      <w:r>
        <w:rPr>
          <w:b w:val="0"/>
        </w:rPr>
        <w:t xml:space="preserve"> Owners must get at least two weeks’ written notice (s.45). Notice that is mailed, emailed, put under the door or left in a mail slot is deemed received four days after it goes out (s.61), and neither the day it is received nor the day of the meeting counts towards the two weeks. Send it three weeks ahead and you are clear.</w:t>
      </w:r>
    </w:p>
    <w:p>
      <w:pPr>
        <w:spacing w:after="60"/>
        <w:ind w:left="454" w:hanging="340"/>
      </w:pPr>
      <w:r>
        <w:rPr>
          <w:b w:val="0"/>
        </w:rPr>
        <w:t>☐</w:t>
        <w:tab/>
      </w:r>
      <w:r>
        <w:rPr>
          <w:b/>
        </w:rPr>
        <w:t>A special levy resolution must say what it is for, the total amount, each lot’s share, and when it is due</w:t>
      </w:r>
      <w:r>
        <w:rPr>
          <w:b w:val="0"/>
        </w:rPr>
        <w:t xml:space="preserve"> (s.108). That is what Schedule A is for.</w:t>
      </w:r>
    </w:p>
    <w:p>
      <w:pPr>
        <w:spacing w:after="60"/>
        <w:ind w:left="454" w:hanging="340"/>
      </w:pPr>
      <w:r>
        <w:rPr>
          <w:b w:val="0"/>
        </w:rPr>
        <w:t>☐</w:t>
        <w:tab/>
      </w:r>
      <w:r>
        <w:rPr>
          <w:b/>
        </w:rPr>
        <w:t>¾ vote, or unanimous.</w:t>
      </w:r>
      <w:r>
        <w:rPr>
          <w:b w:val="0"/>
        </w:rPr>
        <w:t xml:space="preserve"> A levy shared by unit entitlement needs a ¾ vote. Sharing it some other way — equally, or by who benefits — needs a unanimous vote (s.108(2)).</w:t>
      </w:r>
    </w:p>
    <w:p>
      <w:pPr>
        <w:spacing w:after="60"/>
        <w:ind w:left="454" w:hanging="340"/>
      </w:pPr>
      <w:r>
        <w:rPr>
          <w:b w:val="0"/>
        </w:rPr>
        <w:t>☐</w:t>
        <w:tab/>
      </w:r>
      <w:r>
        <w:rPr>
          <w:b/>
        </w:rPr>
        <w:t>Print the full wording in the notice.</w:t>
      </w:r>
      <w:r>
        <w:rPr>
          <w:b w:val="0"/>
        </w:rPr>
        <w:t xml:space="preserve"> It can only be amended at the meeting if the change isn’t substantial and three-quarters agree to the amendment first (ss.45, 50).</w:t>
      </w:r>
    </w:p>
    <w:p>
      <w:pPr>
        <w:spacing w:after="60"/>
        <w:ind w:left="454" w:hanging="340"/>
      </w:pPr>
      <w:r>
        <w:rPr>
          <w:b w:val="0"/>
        </w:rPr>
        <w:t>☐</w:t>
        <w:tab/>
      </w:r>
      <w:r>
        <w:rPr>
          <w:b/>
        </w:rPr>
        <w:t>Was the meeting demanded by owners?</w:t>
      </w:r>
      <w:r>
        <w:rPr>
          <w:b w:val="0"/>
        </w:rPr>
        <w:t xml:space="preserve"> Owners holding 20% of the votes can demand one in writing, and it must be held within four weeks — eight for a winding-up resolution (s.43). The demanded business goes first on the agenda.</w:t>
      </w:r>
    </w:p>
    <w:p>
      <w:pPr>
        <w:spacing w:after="60"/>
        <w:ind w:left="454" w:hanging="340"/>
      </w:pPr>
      <w:r>
        <w:rPr>
          <w:b w:val="0"/>
        </w:rPr>
        <w:t>☐</w:t>
        <w:tab/>
      </w:r>
      <w:r>
        <w:rPr>
          <w:b/>
        </w:rPr>
        <w:t>Spending from the contingency reserve fund instead?</w:t>
      </w:r>
      <w:r>
        <w:rPr>
          <w:b w:val="0"/>
        </w:rPr>
        <w:t xml:space="preserve"> Most of it needs a ¾ vote, but a majority is enough for work recommended in your depreciation report, the report itself, and EV charging (s.96).</w:t>
      </w:r>
    </w:p>
    <w:p>
      <w:pPr>
        <w:spacing w:after="60"/>
        <w:ind w:left="454" w:hanging="340"/>
      </w:pPr>
      <w:r>
        <w:rPr>
          <w:b w:val="0"/>
        </w:rPr>
        <w:t>☐</w:t>
        <w:tab/>
      </w:r>
      <w:r>
        <w:rPr>
          <w:b/>
        </w:rPr>
        <w:t>Winding up?</w:t>
      </w:r>
      <w:r>
        <w:rPr>
          <w:b w:val="0"/>
        </w:rPr>
        <w:t xml:space="preserve"> That needs four weeks’ notice and an 80% vote of all eligible voters.</w:t>
      </w:r>
    </w:p>
    <w:p>
      <w:pPr>
        <w:spacing w:after="60"/>
        <w:ind w:left="454" w:hanging="340"/>
      </w:pPr>
      <w:r>
        <w:rPr>
          <w:b w:val="0"/>
        </w:rPr>
        <w:t>☐</w:t>
        <w:tab/>
      </w:r>
      <w:r>
        <w:rPr>
          <w:b/>
        </w:rPr>
        <w:t>Check your own bylaws.</w:t>
      </w:r>
      <w:r>
        <w:rPr>
          <w:b w:val="0"/>
        </w:rPr>
        <w:t xml:space="preserve"> The agenda follows the Standard Bylaws (bylaw 28).</w:t>
      </w:r>
    </w:p>
    <w:p>
      <w:pPr>
        <w:spacing w:after="60"/>
        <w:ind w:left="454" w:hanging="340"/>
      </w:pPr>
      <w:r>
        <w:rPr>
          <w:b w:val="0"/>
        </w:rPr>
        <w:t>☐</w:t>
        <w:tab/>
      </w:r>
      <w:r>
        <w:rPr>
          <w:b/>
        </w:rPr>
        <w:t>Change the agenda, enclosures and resolutions for this meeting.</w:t>
      </w:r>
      <w:r>
        <w:rPr>
          <w:b w:val="0"/>
        </w:rPr>
        <w:t xml:space="preserve"> In the PDF each is one box you can rewrite — add, remove, reorder. The Word file does the same, with formatting.</w:t>
      </w:r>
    </w:p>
    <w:p>
      <w:pPr>
        <w:spacing w:after="60"/>
        <w:ind w:left="454" w:hanging="340"/>
      </w:pPr>
      <w:r>
        <w:rPr>
          <w:b w:val="0"/>
        </w:rPr>
        <w:t>☐</w:t>
        <w:tab/>
      </w:r>
      <w:r>
        <w:rPr>
          <w:b/>
        </w:rPr>
        <w:t>Schedule A has eight rows for lots.</w:t>
      </w:r>
      <w:r>
        <w:rPr>
          <w:b w:val="0"/>
        </w:rPr>
        <w:t xml:space="preserve"> More than that? Use the Word file, or attach your own schedule.</w:t>
      </w:r>
    </w:p>
    <w:tbl>
      <w:tblPr>
        <w:tblW w:type="auto" w:w="0"/>
        <w:jc w:val="center"/>
        <w:tblLook w:firstColumn="1" w:firstRow="1" w:lastColumn="0" w:lastRow="0" w:noHBand="0" w:noVBand="1" w:val="04A0"/>
      </w:tblPr>
      <w:tblGrid>
        <w:gridCol w:w="9972"/>
      </w:tblGrid>
      <w:tr>
        <w:tc>
          <w:tcPr>
            <w:tcW w:type="dxa" w:w="9972"/>
            <w:shd w:val="clear" w:color="auto" w:fill="EFF6FF"/>
          </w:tcPr>
          <w:p>
            <w:pPr>
              <w:spacing w:before="80"/>
            </w:pPr>
            <w:r>
              <w:rPr>
                <w:b/>
                <w:sz w:val="22"/>
              </w:rPr>
              <w:t>One vote, run properly</w:t>
            </w:r>
          </w:p>
          <w:p>
            <w:pPr>
              <w:spacing w:after="80"/>
            </w:pPr>
            <w:r>
              <w:rPr>
                <w:b w:val="0"/>
                <w:sz w:val="20"/>
              </w:rPr>
              <w:t xml:space="preserve">ManageStrata sends the notice with the resolution wording attached, lets owners vote electronically, and holds each resolution to its BC threshold — majority, ¾ or unanimous — with a live tally. Free for stratas of up to 4 lots. </w:t>
            </w:r>
            <w:hyperlink r:id="rId11">
              <w:r>
                <w:rPr>
                  <w:color w:val="2563EB"/>
                  <w:b/>
                </w:rPr>
                <w:t>managestrata.ca</w:t>
              </w:r>
            </w:hyperlink>
          </w:p>
        </w:tc>
      </w:tr>
    </w:tbl>
    <w:sectPr w:rsidR="00FC693F" w:rsidRPr="0006063C" w:rsidSect="00034616">
      <w:headerReference w:type="default" r:id="rId9"/>
      <w:footerReference w:type="default" r:id="rId10"/>
      <w:pgSz w:w="12240" w:h="15840"/>
      <w:pgMar w:top="1020"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color w:val="64748B"/>
        <w:sz w:val="15"/>
      </w:rPr>
      <w:t xml:space="preserve">Free template from ManageStrata · </w:t>
    </w:r>
    <w:hyperlink r:id="rId1">
      <w:r>
        <w:rPr>
          <w:color w:val="64748B"/>
          <w:b/>
        </w:rPr>
        <w:t>managestrata.ca/strata-templates</w:t>
      </w:r>
    </w:hyperlink>
    <w:r>
      <w:rPr>
        <w:b w:val="0"/>
        <w:color w:val="64748B"/>
        <w:sz w:val="15"/>
      </w:rPr>
      <w:t xml:space="preserve"> · October 2026 · General information for BC strata corporations, not legal advice.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1215584" cy="234000"/>
          <wp:docPr id="1" name="Picture 1"/>
          <wp:cNvGraphicFramePr>
            <a:graphicFrameLocks noChangeAspect="1"/>
          </wp:cNvGraphicFramePr>
          <a:graphic>
            <a:graphicData uri="http://schemas.openxmlformats.org/drawingml/2006/picture">
              <pic:pic>
                <pic:nvPicPr>
                  <pic:cNvPr id="0" name="logo-lockup.png"/>
                  <pic:cNvPicPr/>
                </pic:nvPicPr>
                <pic:blipFill>
                  <a:blip r:embed="rId1"/>
                  <a:stretch>
                    <a:fillRect/>
                  </a:stretch>
                </pic:blipFill>
                <pic:spPr>
                  <a:xfrm>
                    <a:off x="0" y="0"/>
                    <a:ext cx="1215584" cy="234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s="Arial" w:eastAsia="Arial"/>
      <w:color w:val="0F172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80" w:after="160"/>
      <w:outlineLvl w:val="0"/>
    </w:pPr>
    <w:rPr>
      <w:rFonts w:cstheme="majorBidi" w:ascii="Arial" w:hAnsi="Arial" w:cs="Arial" w:eastAsia="Arial"/>
      <w:b/>
      <w:bCs/>
      <w:color w:val="0F172A"/>
      <w:sz w:val="34"/>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cstheme="majorBidi" w:ascii="Arial" w:hAnsi="Arial" w:cs="Arial" w:eastAsia="Arial"/>
      <w:b/>
      <w:bCs/>
      <w:color w:val="0F172A"/>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80"/>
      <w:contextualSpacing/>
    </w:pPr>
    <w:rPr>
      <w:rFonts w:cstheme="majorBidi" w:ascii="Arial" w:hAnsi="Arial" w:cs="Arial" w:eastAsia="Arial"/>
      <w:b/>
      <w:color w:val="0F172A"/>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anagestrata.ca/?utm_source=strata-template&amp;utm_medium=docx&amp;utm_campaign=sgm-notice"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managestrata.ca/strata-templates?utm_source=strata-template&amp;utm_medium=docx&amp;utm_campaign=sgm-notic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Special General Meeting — free BC strata template</dc:title>
  <dc:subject/>
  <dc:creator>ManageStrata</dc:creator>
  <cp:keywords/>
  <dc:description>Free template from https://managestrata.ca/strata-templates</dc:description>
  <cp:lastModifiedBy/>
  <cp:revision>1</cp:revision>
  <dcterms:created xsi:type="dcterms:W3CDTF">2013-12-23T23:15:00Z</dcterms:created>
  <dcterms:modified xsi:type="dcterms:W3CDTF">2013-12-23T23:15:00Z</dcterms:modified>
  <cp:category/>
</cp:coreProperties>
</file>